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</w:pPr>
      <w:r>
        <w:rPr>
          <w:b/>
          <w:sz w:val="28"/>
        </w:rPr>
        <w:t>ENGLISH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Information Sheet – High-Quality Rebar Supply + Our Products</w:t>
      </w:r>
    </w:p>
    <w:p>
      <w:pPr>
        <w:spacing w:after="80" w:line="252" w:lineRule="auto"/>
      </w:pPr>
      <w:r>
        <w:rPr>
          <w:b/>
          <w:sz w:val="19"/>
        </w:rPr>
        <w:t>COTI commercial interface – Algerian manufacturing origin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1. Our Profile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Status : </w:t>
      </w:r>
      <w:r>
        <w:rPr>
          <w:sz w:val="19"/>
        </w:rPr>
        <w:t>Commercial interface and industrial supply coordination. COTI is not the manufacturer.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Manufacturing origin : </w:t>
      </w:r>
      <w:r>
        <w:rPr>
          <w:sz w:val="19"/>
        </w:rPr>
        <w:t>Algeria; products from an integrated steelmaking complex.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Industrial capacity : </w:t>
      </w:r>
      <w:r>
        <w:rPr>
          <w:sz w:val="19"/>
        </w:rPr>
        <w:t>2 million tonnes per year of long products: 1.5 million tonnes of rebar and 0.5 million tonnes of wire rod. These are stated installed capacities, not verified annual output or stock reserved for COTI.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Visits : </w:t>
      </w:r>
      <w:r>
        <w:rPr>
          <w:sz w:val="19"/>
        </w:rPr>
        <w:t>COTI is available to arrange your reception at the plant for verification, a technical visit or a commercial meeting, by appointment and subject to site approval.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2. Product Range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Rebar (Reinforcing Steel Bars) – Straight Bars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Grades : </w:t>
      </w:r>
      <w:r>
        <w:rPr>
          <w:sz w:val="19"/>
        </w:rPr>
        <w:t>500 MPa-class steel; B500B / B500C or another documented grade according to the market, standard and confirmed offer.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Diameters : </w:t>
      </w:r>
      <w:r>
        <w:rPr>
          <w:sz w:val="19"/>
        </w:rPr>
        <w:t>8, 10, 12, 14, 16, 20, 25, 32 and 40 mm. Special sizes between 8 and 40 mm: reviewed on request.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Length : </w:t>
      </w:r>
      <w:r>
        <w:rPr>
          <w:sz w:val="19"/>
        </w:rPr>
        <w:t>12 m (+100 mm / −0). Some sizes up to 18 m: on request and subject to confirmation.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Bundle weight : </w:t>
      </w:r>
      <w:r>
        <w:rPr>
          <w:sz w:val="19"/>
        </w:rPr>
        <w:t>Approximately 2 tonnes for 12 m bars; 3-tonne bundles on request.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Packaging : </w:t>
      </w:r>
      <w:r>
        <w:rPr>
          <w:sz w:val="19"/>
        </w:rPr>
        <w:t>Compact bundles with 5 double ties of 7 mm steel wire for standard length, adaptable to the order.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Coils – Wire Rod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Diameters : </w:t>
      </w:r>
      <w:r>
        <w:rPr>
          <w:sz w:val="19"/>
        </w:rPr>
        <w:t>5.5–14 mm; special sizes and increments subject to confirmation.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Coil weight : </w:t>
      </w:r>
      <w:r>
        <w:rPr>
          <w:sz w:val="19"/>
        </w:rPr>
        <w:t>Approximately 2 tonnes.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Dimensions : </w:t>
      </w:r>
      <w:r>
        <w:rPr>
          <w:sz w:val="19"/>
        </w:rPr>
        <w:t>Inner diameter 800–850 mm; outer diameter 1,200–1,250 mm; maximum height 2,000 mm.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Packaging : </w:t>
      </w:r>
      <w:r>
        <w:rPr>
          <w:sz w:val="19"/>
        </w:rPr>
        <w:t>Compact, with 4 ties of 7 mm steel wire, single or double depending on size and destination.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Rebar in coils : </w:t>
      </w:r>
      <w:r>
        <w:rPr>
          <w:sz w:val="19"/>
        </w:rPr>
        <w:t>Also reviewed on request. Applicable diameter, grade, standard and certificate must be confirmed before order.</w:t>
      </w:r>
    </w:p>
    <w:p>
      <w:r>
        <w:br w:type="page"/>
      </w:r>
    </w:p>
    <w:p>
      <w:pPr>
        <w:keepNext/>
        <w:spacing w:before="140" w:after="80"/>
      </w:pPr>
      <w:r>
        <w:rPr>
          <w:b/>
          <w:color w:val="00A9DE"/>
          <w:sz w:val="26"/>
        </w:rPr>
        <w:t>3. Certifications and Compliance</w:t>
      </w:r>
    </w:p>
    <w:p>
      <w:pPr>
        <w:spacing w:after="80" w:line="252" w:lineRule="auto"/>
      </w:pPr>
      <w:r>
        <w:rPr>
          <w:b w:val="0"/>
          <w:sz w:val="19"/>
        </w:rPr>
        <w:t>Manufacturer certificates and compliance documents are provided only following a request to COTI. Current versions, scope and validity must be checked for each product and destination market. They are not certifications held by COTI.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CARES – United Kingdom : </w:t>
      </w:r>
      <w:r>
        <w:rPr>
          <w:sz w:val="19"/>
        </w:rPr>
        <w:t>Documentation relating, among other items, to B500B bars under BS 4449 and wire rod products under BS 4482, according to the offered reference's scope. Available on request.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GlobeCert – Finland / Scandinavia : </w:t>
      </w:r>
      <w:r>
        <w:rPr>
          <w:sz w:val="19"/>
        </w:rPr>
        <w:t>Type-approval documentation relating to 8–40 mm bars and SFS 1300 requirements.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Kiwa – Germany : </w:t>
      </w:r>
      <w:r>
        <w:rPr>
          <w:sz w:val="19"/>
        </w:rPr>
        <w:t>Conformity documentation relating to reinforcing steel bars under DIN 488.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ZETOM / national documents : </w:t>
      </w:r>
      <w:r>
        <w:rPr>
          <w:sz w:val="19"/>
        </w:rPr>
        <w:t>Evidence according to the product and market, including Poland; Romanian compliance documentation reviewed on request.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Mechanical properties and traceability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Yield strength : </w:t>
      </w:r>
      <w:r>
        <w:rPr>
          <w:sz w:val="19"/>
        </w:rPr>
        <w:t>≥ 500 MPa for the referenced B500 grades; to be confirmed on the lot certificate.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Ductility and tensile / yield ratio : </w:t>
      </w:r>
      <w:r>
        <w:rPr>
          <w:sz w:val="19"/>
        </w:rPr>
        <w:t>Requirements depend on grade and standard. The supplied GlobeCert dossier states ductility ≥ 7.5% and a ratio ≥ 1.15 within its scope.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Weldability and bendability : </w:t>
      </w:r>
      <w:r>
        <w:rPr>
          <w:sz w:val="19"/>
        </w:rPr>
        <w:t>Compliance with the product standard and applicable tests, not a blanket guarantee for every reference.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Traceability : </w:t>
      </w:r>
      <w:r>
        <w:rPr>
          <w:sz w:val="19"/>
        </w:rPr>
        <w:t>Heat and lot identification; material certificates and test results according to the order.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4. Advantages for Your Supply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Coordinated sourcing : </w:t>
      </w:r>
      <w:r>
        <w:rPr>
          <w:sz w:val="19"/>
        </w:rPr>
        <w:t>One COTI contact for the requirement, offer, documents and delivery follow-up.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Documented quality : </w:t>
      </w:r>
      <w:r>
        <w:rPr>
          <w:sz w:val="19"/>
        </w:rPr>
        <w:t>Verification of grade, standard and quality documentation for the offered reference.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Flexibility : </w:t>
      </w:r>
      <w:r>
        <w:rPr>
          <w:sz w:val="19"/>
        </w:rPr>
        <w:t>Review of volumes, diameters, lengths and packaging.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International logistics : </w:t>
      </w:r>
      <w:r>
        <w:rPr>
          <w:sz w:val="19"/>
        </w:rPr>
        <w:t>Delivery coordination and FOB / CIF terms reviewed according to destination and offer.</w:t>
      </w:r>
    </w:p>
    <w:p>
      <w:pPr>
        <w:spacing w:after="60" w:line="250" w:lineRule="auto"/>
        <w:ind w:left="187" w:hanging="187"/>
      </w:pPr>
      <w:r>
        <w:rPr>
          <w:sz w:val="19"/>
        </w:rPr>
        <w:t xml:space="preserve">• </w:t>
      </w:r>
      <w:r>
        <w:rPr>
          <w:b/>
          <w:sz w:val="19"/>
        </w:rPr>
        <w:t xml:space="preserve">Transparency : </w:t>
      </w:r>
      <w:r>
        <w:rPr>
          <w:sz w:val="19"/>
        </w:rPr>
        <w:t>Plant visits and inspection to be agreed before commitment.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5. Next Steps</w:t>
      </w:r>
    </w:p>
    <w:p>
      <w:pPr>
        <w:spacing w:after="80" w:line="252" w:lineRule="auto"/>
      </w:pPr>
      <w:r>
        <w:rPr>
          <w:b w:val="0"/>
          <w:sz w:val="19"/>
        </w:rPr>
        <w:t>For an offer, specify products, grades, standards, diameters, lengths, volumes, lead time, destination port and requested commercial terms (FOB / CIF). COTI coordinates a tailored proposal, subject to availability and technical confirmation.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6. Available Documents</w:t>
      </w:r>
    </w:p>
    <w:p>
      <w:pPr>
        <w:spacing w:after="80" w:line="252" w:lineRule="auto"/>
      </w:pPr>
      <w:r>
        <w:rPr>
          <w:b w:val="0"/>
          <w:sz w:val="19"/>
        </w:rPr>
        <w:t>Detailed technical sheets, valid manufacturer certificates, material certificates / test reports and inspection documents are available on request. Original certificates are not published or rebranded as COTI certificates.</w:t>
      </w:r>
    </w:p>
    <w:p>
      <w:pPr>
        <w:spacing w:after="80" w:line="252" w:lineRule="auto"/>
      </w:pPr>
      <w:r>
        <w:rPr>
          <w:b w:val="0"/>
          <w:sz w:val="16"/>
        </w:rPr>
        <w:t>Indicative specifications from the supplied dossier. Grade, dimensions, availability, documents and terms must be confirmed in the offer. No stock or exclusive mandate is assumed.</w:t>
      </w:r>
    </w:p>
    <w:p>
      <w:r>
        <w:br w:type="page"/>
      </w:r>
    </w:p>
    <w:p>
      <w:pPr>
        <w:keepNext/>
        <w:spacing w:before="140" w:after="80"/>
      </w:pPr>
      <w:r>
        <w:rPr>
          <w:b/>
          <w:color w:val="00A9DE"/>
          <w:sz w:val="26"/>
        </w:rPr>
        <w:t>Our Products – Feedstock and complementary products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Rebar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080760" cy="11681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bar-sheet.jpg"/>
                    <pic:cNvPicPr/>
                  </pic:nvPicPr>
                  <pic:blipFill>
                    <a:blip r:embed="rMetals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1681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b w:val="0"/>
          <w:sz w:val="19"/>
        </w:rPr>
        <w:t>Reinforcing bars for concrete structures. 8–40 mm range; standard length 12 m.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Wire rod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080760" cy="11693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re-sheet.jpg"/>
                    <pic:cNvPicPr/>
                  </pic:nvPicPr>
                  <pic:blipFill>
                    <a:blip r:embed="rMetals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169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b w:val="0"/>
          <w:sz w:val="19"/>
        </w:rPr>
        <w:t>Coils for processing and wire drawing. 5.5–14 mm range.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Steel billets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080760" cy="11693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let-sheet.jpg"/>
                    <pic:cNvPicPr/>
                  </pic:nvPicPr>
                  <pic:blipFill>
                    <a:blip r:embed="rMetals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169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b w:val="0"/>
          <w:sz w:val="19"/>
        </w:rPr>
        <w:t>Semi-finished products for rolling. The supplied dossier describes a B500WR reference, 150 × 150 mm section and 12 m ±30 mm length; current specification and export availability require confirmation.</w:t>
      </w:r>
    </w:p>
    <w:p>
      <w:pPr>
        <w:spacing w:after="80" w:line="252" w:lineRule="auto"/>
      </w:pPr>
      <w:r>
        <w:rPr>
          <w:b w:val="0"/>
          <w:sz w:val="16"/>
        </w:rPr>
        <w:t>Real product photographs from the supplied presentation dossier and its product documentation. They do not depict facilities owned by COTI.</w:t>
      </w:r>
    </w:p>
    <w:p>
      <w:r>
        <w:br w:type="page"/>
      </w:r>
    </w:p>
    <w:p>
      <w:pPr>
        <w:keepNext/>
        <w:spacing w:before="140" w:after="80"/>
      </w:pPr>
      <w:r>
        <w:rPr>
          <w:b/>
          <w:color w:val="00A9DE"/>
          <w:sz w:val="26"/>
        </w:rPr>
        <w:t>Our Products – Feedstock and complementary products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Direct reduced iron – DRI / CDRI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080760" cy="93082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i-sheet.jpg"/>
                    <pic:cNvPicPr/>
                  </pic:nvPicPr>
                  <pic:blipFill>
                    <a:blip r:embed="rMetals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930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b w:val="0"/>
          <w:sz w:val="19"/>
        </w:rPr>
        <w:t>Pellet-form feedstock for steelmaking. The dossier states total Fe ≥ 89.50%, metallic Fe ≥ 84.20%, metallisation ≥ 94% and carbon 1.50–2.50%. Each lot and export availability require confirmation.</w:t>
      </w:r>
    </w:p>
    <w:p>
      <w:pPr>
        <w:keepNext/>
        <w:spacing w:before="140" w:after="80"/>
      </w:pPr>
      <w:r>
        <w:rPr>
          <w:b/>
          <w:color w:val="14284B"/>
          <w:sz w:val="21"/>
        </w:rPr>
        <w:t>Calcined lime &amp; dololime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080760" cy="93082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e-sheet.jpg"/>
                    <pic:cNvPicPr/>
                  </pic:nvPicPr>
                  <pic:blipFill>
                    <a:blip r:embed="rMetals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930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line="252" w:lineRule="auto"/>
      </w:pPr>
      <w:r>
        <w:rPr>
          <w:b w:val="0"/>
          <w:sz w:val="19"/>
        </w:rPr>
        <w:t>Flux products used in steelmaking. The dossier describes a combined 280,000 t/year capacity primarily for the site's internal consumption; commercial export availability is not assumed.</w:t>
      </w:r>
    </w:p>
    <w:p>
      <w:pPr>
        <w:spacing w:after="80" w:line="252" w:lineRule="auto"/>
      </w:pPr>
      <w:r>
        <w:rPr>
          <w:b w:val="0"/>
          <w:sz w:val="17"/>
        </w:rPr>
        <w:t>DRI can reoxidise and react with water, releasing heat. Supply requires a safety data sheet, suitable packaging and transport procedures. COTI coordinates the requirements with qualified parties.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From feedstock to delivery</w:t>
      </w:r>
    </w:p>
    <w:p>
      <w:pPr>
        <w:spacing w:after="80" w:line="252" w:lineRule="auto"/>
      </w:pPr>
      <w:r>
        <w:rPr>
          <w:b w:val="0"/>
          <w:sz w:val="19"/>
        </w:rPr>
        <w:t>Direct reduced iron → electric arc furnace steelmaking → ladle refining → continuous billet casting → hot rolling → bars or coils → quality checks → identification and packaging → delivery. The exact scope depends on the product and order.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Why steel matters for energy projects</w:t>
      </w:r>
    </w:p>
    <w:p>
      <w:pPr>
        <w:spacing w:after="80" w:line="252" w:lineRule="auto"/>
      </w:pPr>
      <w:r>
        <w:rPr>
          <w:b w:val="0"/>
          <w:sz w:val="19"/>
        </w:rPr>
        <w:t>Oil and gas sites, power plants, renewable-energy installations and hydrogen facilities use steel in foundations, reinforced-concrete works, buildings and infrastructure. The rebar described here reinforces concrete; it does not replace pressure piping, pressure vessels or special steel grades governed by different specifications.</w:t>
      </w:r>
    </w:p>
    <w:p>
      <w:pPr>
        <w:keepNext/>
        <w:spacing w:before="140" w:after="80"/>
      </w:pPr>
      <w:r>
        <w:rPr>
          <w:b/>
          <w:color w:val="00A9DE"/>
          <w:sz w:val="26"/>
        </w:rPr>
        <w:t>Plant visit, verification or meeting</w:t>
      </w:r>
    </w:p>
    <w:p>
      <w:pPr>
        <w:spacing w:after="80" w:line="252" w:lineRule="auto"/>
      </w:pPr>
      <w:r>
        <w:rPr>
          <w:b w:val="0"/>
          <w:sz w:val="19"/>
        </w:rPr>
        <w:t>COTI is available to arrange your reception at the plant in Algeria for a technical review, product inspection, quality-document verification or commercial meeting. Visits require an appointment, site authorisation and compliance with applicable safety and confidentiality requirements.</w:t>
      </w:r>
    </w:p>
    <w:sectPr w:rsidR="00FC693F" w:rsidRPr="0006063C" w:rsidSect="00034616">
      <w:footerReference w:type="default" r:id="rCotiFooter"/>
      <w:headerReference w:type="default" r:id="rCotiHeader"/>
      <w:pgSz w:w="12240" w:h="15840"/>
      <w:pgMar w:top="2232" w:right="936" w:bottom="18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4DC" w14:textId="4787DA16" w:rsidR="00B06569" w:rsidRDefault="00B06569" w:rsidP="00D87505">
    <w:pPr>
      <w:jc w:val="center"/>
      <w:rPr>
        <w:rStyle w:val="lev"/>
        <w:rFonts w:ascii="Arial" w:hAnsi="Arial" w:cs="Arial"/>
        <w:color w:val="333333"/>
        <w:sz w:val="16"/>
        <w:szCs w:val="16"/>
        <w:lang w:val="en-CA"/>
      </w:rPr>
    </w:pPr>
    <w:r w:rsidRPr="00C1564F">
      <w:rPr>
        <w:noProof/>
        <w:color w:val="4169E1"/>
        <w:sz w:val="16"/>
        <w:szCs w:val="16"/>
        <w:lang w:val="en-C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A3C3662" wp14:editId="55A78BF8">
              <wp:simplePos x="0" y="0"/>
              <wp:positionH relativeFrom="column">
                <wp:posOffset>-880110</wp:posOffset>
              </wp:positionH>
              <wp:positionV relativeFrom="paragraph">
                <wp:posOffset>151130</wp:posOffset>
              </wp:positionV>
              <wp:extent cx="8084820" cy="0"/>
              <wp:effectExtent l="0" t="0" r="0" b="0"/>
              <wp:wrapNone/>
              <wp:docPr id="1157214254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08482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E97132">
                            <a:alpha val="56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0CCDDF7" id="Connecteur droit 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3pt,11.9pt" to="567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" strokecolor="#e97132" strokeweight=".25pt">
              <v:stroke opacity="36751f" joinstyle="miter"/>
            </v:line>
          </w:pict>
        </mc:Fallback>
      </mc:AlternateContent>
    </w:r>
  </w:p>
  <w:p w14:paraId="2164B8C1" w14:textId="6D939071" w:rsidR="009D240E" w:rsidRDefault="00D87505" w:rsidP="009D240E">
    <w:pPr>
      <w:tabs>
        <w:tab w:val="left" w:pos="2928"/>
        <w:tab w:val="center" w:pos="5245"/>
      </w:tabs>
      <w:spacing w:after="0"/>
      <w:jc w:val="center"/>
      <w:rPr>
        <w:rFonts w:ascii="Montserrat" w:hAnsi="Montserrat" w:cs="Arial"/>
        <w:color w:val="333333"/>
        <w:sz w:val="16"/>
        <w:szCs w:val="16"/>
        <w:lang w:val="en-CA"/>
      </w:rPr>
    </w:pPr>
    <w:r w:rsidRPr="009F5908">
      <w:rPr>
        <w:rStyle w:val="lev"/>
        <w:rFonts w:ascii="Montserrat" w:hAnsi="Montserrat" w:cs="Arial"/>
        <w:color w:val="333333"/>
        <w:sz w:val="16"/>
        <w:szCs w:val="16"/>
        <w:lang w:val="en-CA"/>
      </w:rPr>
      <w:t>AMERICA | MIDDLE EAST | ASIA | AFRICA | EUROPE</w:t>
    </w:r>
    <w:r w:rsidRPr="009F5908">
      <w:rPr>
        <w:rFonts w:ascii="Montserrat" w:hAnsi="Montserrat" w:cs="Arial"/>
        <w:color w:val="333333"/>
        <w:sz w:val="16"/>
        <w:szCs w:val="16"/>
        <w:lang w:val="en-CA"/>
      </w:rPr>
      <w:br/>
    </w:r>
    <w:r w:rsidRPr="009F5908">
      <w:rPr>
        <w:rStyle w:val="lev"/>
        <w:rFonts w:ascii="Montserrat" w:hAnsi="Montserrat" w:cs="Arial"/>
        <w:color w:val="333333"/>
        <w:sz w:val="16"/>
        <w:szCs w:val="16"/>
        <w:lang w:val="en-CA"/>
      </w:rPr>
      <w:t xml:space="preserve">   Canada:</w:t>
    </w:r>
    <w:r w:rsidRPr="009F5908">
      <w:rPr>
        <w:rFonts w:ascii="Montserrat" w:hAnsi="Montserrat"/>
        <w:color w:val="333333"/>
        <w:sz w:val="16"/>
        <w:szCs w:val="16"/>
        <w:lang w:val="en-CA"/>
      </w:rPr>
      <w:t xml:space="preserve"> 10-7175 Rue Michelet, Montreal, QC H1S 2L8</w:t>
    </w:r>
  </w:p>
  <w:p w14:paraId="511FD12A" w14:textId="5A73A3EE" w:rsidR="009D240E" w:rsidRPr="009D240E" w:rsidRDefault="00D87505" w:rsidP="009D240E">
    <w:pPr>
      <w:spacing w:after="0"/>
      <w:jc w:val="center"/>
      <w:rPr>
        <w:rFonts w:ascii="Montserrat" w:hAnsi="Montserrat"/>
        <w:color w:val="333333"/>
        <w:sz w:val="16"/>
        <w:szCs w:val="16"/>
        <w:lang w:val="en-CA"/>
      </w:rPr>
    </w:pPr>
    <w:r w:rsidRPr="009F5908">
      <w:rPr>
        <w:rStyle w:val="lev"/>
        <w:rFonts w:ascii="Montserrat" w:hAnsi="Montserrat" w:cs="Arial"/>
        <w:color w:val="333333"/>
        <w:sz w:val="16"/>
        <w:szCs w:val="16"/>
        <w:lang w:val="en-CA"/>
      </w:rPr>
      <w:t>WhatsApp:</w:t>
    </w:r>
    <w:r w:rsidRPr="009F5908">
      <w:rPr>
        <w:rFonts w:ascii="Montserrat" w:hAnsi="Montserrat"/>
        <w:color w:val="333333"/>
        <w:sz w:val="16"/>
        <w:szCs w:val="16"/>
        <w:lang w:val="en-CA"/>
      </w:rPr>
      <w:t xml:space="preserve"> +1 438 937 9124 (CA) | +971 54 223 8214 (UAE) —</w:t>
    </w:r>
    <w:r w:rsidR="009D240E" w:rsidRPr="009D240E">
      <w:rPr>
        <w:rFonts w:ascii="Montserrat" w:hAnsi="Montserrat"/>
        <w:color w:val="333333"/>
        <w:sz w:val="16"/>
        <w:szCs w:val="16"/>
        <w:lang w:val="en-CA"/>
      </w:rPr>
      <w:t>www.coticanada.com</w:t>
    </w:r>
  </w:p>
  <w:p w14:paraId="4C25278D" w14:textId="0E0A376E" w:rsidR="009F5908" w:rsidRPr="009F5908" w:rsidRDefault="007253DC" w:rsidP="009D240E">
    <w:pPr>
      <w:spacing w:after="0"/>
      <w:jc w:val="center"/>
      <w:rPr>
        <w:rFonts w:ascii="Montserrat" w:hAnsi="Montserrat" w:cs="Arial"/>
        <w:color w:val="333333"/>
        <w:sz w:val="16"/>
        <w:szCs w:val="16"/>
        <w:lang w:val="en-CA"/>
      </w:rPr>
    </w:pPr>
    <w:r w:rsidRPr="007253DC">
      <w:rPr>
        <w:rFonts w:ascii="Montserrat" w:hAnsi="Montserrat"/>
        <w:color w:val="333333"/>
        <w:sz w:val="16"/>
        <w:szCs w:val="16"/>
        <w:lang w:val="en-CA"/>
      </w:rPr>
      <w:t>info@coticanada.com</w:t>
    </w:r>
    <w:r w:rsidR="00D87505" w:rsidRPr="009F5908">
      <w:rPr>
        <w:rFonts w:ascii="Montserrat" w:hAnsi="Montserrat" w:cs="Arial"/>
        <w:color w:val="333333"/>
        <w:sz w:val="16"/>
        <w:szCs w:val="16"/>
        <w:lang w:val="en-CA"/>
      </w:rPr>
      <w:br/>
    </w:r>
    <w:r w:rsidR="00FB62C2" w:rsidRPr="009F5908">
      <w:rPr>
        <w:rFonts w:ascii="Montserrat" w:hAnsi="Montserrat" w:cs="Arial"/>
        <w:b/>
        <w:bCs/>
        <w:color w:val="333333"/>
        <w:sz w:val="16"/>
        <w:szCs w:val="16"/>
        <w:lang w:val="en-CA"/>
      </w:rPr>
      <w:t>Corporation number:</w:t>
    </w:r>
    <w:r w:rsidR="00FB62C2" w:rsidRPr="009F5908">
      <w:rPr>
        <w:rFonts w:ascii="Montserrat" w:hAnsi="Montserrat" w:cs="Arial"/>
        <w:color w:val="333333"/>
        <w:sz w:val="16"/>
        <w:szCs w:val="16"/>
        <w:lang w:val="en-CA"/>
      </w:rPr>
      <w:t xml:space="preserve"> 1070296-0 </w:t>
    </w:r>
    <w:r w:rsidR="00FB62C2" w:rsidRPr="009F5908">
      <w:rPr>
        <w:rStyle w:val="lev"/>
        <w:rFonts w:ascii="Montserrat" w:hAnsi="Montserrat" w:cs="Arial"/>
        <w:color w:val="333333"/>
        <w:sz w:val="16"/>
        <w:szCs w:val="16"/>
        <w:lang w:val="en-CA"/>
      </w:rPr>
      <w:t>|</w:t>
    </w:r>
    <w:r w:rsidR="00FB62C2" w:rsidRPr="009F5908">
      <w:rPr>
        <w:rFonts w:ascii="Montserrat" w:hAnsi="Montserrat" w:cs="Arial"/>
        <w:color w:val="333333"/>
        <w:sz w:val="16"/>
        <w:szCs w:val="16"/>
        <w:lang w:val="en-CA"/>
      </w:rPr>
      <w:t xml:space="preserve"> </w:t>
    </w:r>
    <w:r w:rsidR="00FB62C2" w:rsidRPr="009F5908">
      <w:rPr>
        <w:rFonts w:ascii="Montserrat" w:hAnsi="Montserrat" w:cs="Arial"/>
        <w:b/>
        <w:bCs/>
        <w:color w:val="333333"/>
        <w:sz w:val="16"/>
        <w:szCs w:val="16"/>
        <w:lang w:val="en-CA"/>
      </w:rPr>
      <w:t>Business number (BN):</w:t>
    </w:r>
    <w:r w:rsidR="00FB62C2" w:rsidRPr="009F5908">
      <w:rPr>
        <w:rFonts w:ascii="Montserrat" w:hAnsi="Montserrat" w:cs="Helvetica"/>
        <w:color w:val="333333"/>
        <w:shd w:val="clear" w:color="auto" w:fill="FFFFFF"/>
        <w:lang w:val="en-CA"/>
      </w:rPr>
      <w:t xml:space="preserve"> </w:t>
    </w:r>
    <w:r w:rsidR="00FB62C2" w:rsidRPr="009F5908">
      <w:rPr>
        <w:rFonts w:ascii="Montserrat" w:hAnsi="Montserrat" w:cs="Arial"/>
        <w:b/>
        <w:bCs/>
        <w:color w:val="333333"/>
        <w:sz w:val="16"/>
        <w:szCs w:val="16"/>
        <w:lang w:val="en-CA"/>
      </w:rPr>
      <w:t>761282714RC0001 | Québec business number (NEQ): 1173604753</w:t>
    </w:r>
  </w:p>
  <w:p w14:paraId="41CF120D" w14:textId="5F57F37F" w:rsidR="00D87505" w:rsidRPr="009F5908" w:rsidRDefault="009F5908" w:rsidP="00C13D16">
    <w:pPr>
      <w:spacing w:after="0"/>
      <w:jc w:val="center"/>
      <w:rPr>
        <w:rFonts w:ascii="Montserrat" w:hAnsi="Montserrat" w:cs="Arial"/>
        <w:color w:val="333333"/>
        <w:sz w:val="16"/>
        <w:szCs w:val="16"/>
        <w:lang w:val="en-CA"/>
      </w:rPr>
    </w:pPr>
    <w:r w:rsidRPr="009F5908">
      <w:rPr>
        <w:rFonts w:ascii="Montserrat" w:hAnsi="Montserrat"/>
        <w:i/>
        <w:iCs/>
        <w:color w:val="4169E1"/>
        <w:sz w:val="16"/>
        <w:szCs w:val="16"/>
        <w:lang w:val="en-CA"/>
      </w:rPr>
      <w:t>CONNECTING CANADIAN EXCELLENCE WITH GLOBAL OPPORTUNITIES</w:t>
    </w:r>
  </w:p>
  <w:p w14:paraId="3FF4464D" w14:textId="77777777" w:rsidR="004A5A1F" w:rsidRPr="00D87505" w:rsidRDefault="004A5A1F">
    <w:pPr>
      <w:pStyle w:val="Pieddepage"/>
      <w:rPr>
        <w:lang w:val="en-CA"/>
      </w:rPr>
    </w:pPr>
  </w:p>
</w:ft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r>
      <w:drawing>
        <wp:anchor distT="0" distB="0" distL="114300" distR="114300" simplePos="0" relativeHeight="251683840" behindDoc="0" locked="0" layoutInCell="1" allowOverlap="1" wp14:anchorId="02091153" wp14:editId="72F05298">
          <wp:simplePos x="0" y="0"/>
          <wp:positionH relativeFrom="column">
            <wp:posOffset>-3810</wp:posOffset>
          </wp:positionH>
          <wp:positionV relativeFrom="paragraph">
            <wp:posOffset>-347980</wp:posOffset>
          </wp:positionV>
          <wp:extent cx="6339840" cy="1231265"/>
          <wp:effectExtent l="0" t="0" r="3810" b="6985"/>
          <wp:wrapThrough wrapText="bothSides">
            <wp:wrapPolygon edited="0">
              <wp:start x="0" y="0"/>
              <wp:lineTo x="0" y="21388"/>
              <wp:lineTo x="21548" y="21388"/>
              <wp:lineTo x="21548" y="0"/>
              <wp:lineTo x="0" y="0"/>
            </wp:wrapPolygon>
          </wp:wrapThrough>
          <wp:docPr id="188311170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111706" name="Image 1883111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9840" cy="1231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CotiHeader" Type="http://schemas.openxmlformats.org/officeDocument/2006/relationships/header" Target="header3.xml"/><Relationship Id="rCotiFooter" Type="http://schemas.openxmlformats.org/officeDocument/2006/relationships/footer" Target="footer2.xml"/><Relationship Id="rMetalsrId9" Type="http://schemas.openxmlformats.org/officeDocument/2006/relationships/image" Target="media/metals-image1.jpg"/><Relationship Id="rMetalsrId10" Type="http://schemas.openxmlformats.org/officeDocument/2006/relationships/image" Target="media/metals-image2.jpg"/><Relationship Id="rMetalsrId11" Type="http://schemas.openxmlformats.org/officeDocument/2006/relationships/image" Target="media/metals-image3.jpg"/><Relationship Id="rMetalsrId12" Type="http://schemas.openxmlformats.org/officeDocument/2006/relationships/image" Target="media/metals-image4.jpg"/><Relationship Id="rMetalsrId13" Type="http://schemas.openxmlformats.org/officeDocument/2006/relationships/image" Target="media/metals-image5.jpg"/></Relationships>
</file>

<file path=word/_rels/header3.xml.rels><?xml version='1.0' encoding='UTF-8'?>
<Relationships xmlns="http://schemas.openxmlformats.org/package/2006/relationships">
  <Relationship Id="rId2" Type="http://schemas.openxmlformats.org/officeDocument/2006/relationships/image" Target="media/image4.jpg"/>
  <Relationship Id="rId1" Type="http://schemas.openxmlformats.org/officeDocument/2006/relationships/image" Target="media/image3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Sheet – High-Quality Rebar Supply + Our Products – COTI</dc:title>
  <dc:subject/>
  <dc:creator>Perplexity Computer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